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F3C9" w14:textId="77777777" w:rsidR="008D3068" w:rsidRPr="001011E4" w:rsidRDefault="008D3068" w:rsidP="008D3068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35731378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Objetivo</w:t>
      </w:r>
      <w:proofErr w:type="spellEnd"/>
      <w:r w:rsidRPr="001011E4">
        <w:rPr>
          <w:rFonts w:ascii="Times New Roman" w:hAnsi="Times New Roman" w:cs="Times New Roman"/>
          <w:b/>
          <w:sz w:val="24"/>
          <w:szCs w:val="24"/>
        </w:rPr>
        <w:t>:</w:t>
      </w:r>
    </w:p>
    <w:p w14:paraId="1FAB4B8D" w14:textId="77777777" w:rsidR="008D3068" w:rsidRPr="001011E4" w:rsidRDefault="008D3068" w:rsidP="008D306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97E187F" w14:textId="77777777" w:rsidR="008D3068" w:rsidRPr="001011E4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se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ofrecera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 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Evaluation Form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elegibilidad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para Medicare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Medi-Cal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7E836C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4A46C" w14:textId="77777777" w:rsidR="008D3068" w:rsidRPr="001011E4" w:rsidRDefault="008D3068" w:rsidP="008D3068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011E4">
        <w:rPr>
          <w:rFonts w:ascii="Times New Roman" w:hAnsi="Times New Roman" w:cs="Times New Roman"/>
          <w:b/>
          <w:sz w:val="24"/>
          <w:szCs w:val="24"/>
        </w:rPr>
        <w:t>Areas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Afectadas</w:t>
      </w:r>
      <w:proofErr w:type="spellEnd"/>
      <w:r w:rsidRPr="001011E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011E4">
        <w:rPr>
          <w:rFonts w:ascii="Times New Roman" w:hAnsi="Times New Roman" w:cs="Times New Roman"/>
          <w:b/>
          <w:sz w:val="24"/>
          <w:szCs w:val="24"/>
        </w:rPr>
        <w:t>Depart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011E4">
        <w:rPr>
          <w:rFonts w:ascii="Times New Roman" w:hAnsi="Times New Roman" w:cs="Times New Roman"/>
          <w:b/>
          <w:sz w:val="24"/>
          <w:szCs w:val="24"/>
        </w:rPr>
        <w:t>ment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011E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1011E4">
        <w:rPr>
          <w:rFonts w:ascii="Times New Roman" w:hAnsi="Times New Roman" w:cs="Times New Roman"/>
          <w:b/>
          <w:sz w:val="24"/>
          <w:szCs w:val="24"/>
        </w:rPr>
        <w:t>:</w:t>
      </w:r>
    </w:p>
    <w:p w14:paraId="78A48312" w14:textId="77777777" w:rsidR="008D3068" w:rsidRPr="001011E4" w:rsidRDefault="008D3068" w:rsidP="008D306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A454073" w14:textId="77777777" w:rsidR="008D3068" w:rsidRPr="001011E4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</w:p>
    <w:p w14:paraId="2DC65FCF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4E7C" w14:textId="77777777" w:rsidR="008D3068" w:rsidRPr="001011E4" w:rsidRDefault="008D3068" w:rsidP="008D3068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b/>
          <w:sz w:val="24"/>
          <w:szCs w:val="24"/>
        </w:rPr>
        <w:t>Poli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011E4">
        <w:rPr>
          <w:rFonts w:ascii="Times New Roman" w:hAnsi="Times New Roman" w:cs="Times New Roman"/>
          <w:b/>
          <w:sz w:val="24"/>
          <w:szCs w:val="24"/>
        </w:rPr>
        <w:t>:</w:t>
      </w:r>
    </w:p>
    <w:p w14:paraId="400DAD0F" w14:textId="77777777" w:rsidR="008D3068" w:rsidRPr="001011E4" w:rsidRDefault="008D3068" w:rsidP="008D306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7B4F343" w14:textId="77777777" w:rsidR="008D3068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Hospital Glendora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esfuerza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población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proporciona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Glendora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demuestre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Glendora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E530E0" w14:textId="77777777" w:rsidR="008D3068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A90CB8E" w14:textId="77777777" w:rsidR="008D3068" w:rsidRPr="001011E4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del hospital y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dificultades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cubiertos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DD9AF" w14:textId="77777777" w:rsidR="008D3068" w:rsidRPr="001011E4" w:rsidRDefault="008D3068" w:rsidP="008D306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CF4D2E9" w14:textId="77777777" w:rsidR="008D3068" w:rsidRPr="001011E4" w:rsidRDefault="008D3068" w:rsidP="008D3068">
      <w:pPr>
        <w:pStyle w:val="ListParagraph"/>
        <w:numPr>
          <w:ilvl w:val="0"/>
          <w:numId w:val="2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b/>
          <w:sz w:val="24"/>
          <w:szCs w:val="24"/>
        </w:rPr>
        <w:t>Proced</w:t>
      </w:r>
      <w:r>
        <w:rPr>
          <w:rFonts w:ascii="Times New Roman" w:hAnsi="Times New Roman" w:cs="Times New Roman"/>
          <w:b/>
          <w:sz w:val="24"/>
          <w:szCs w:val="24"/>
        </w:rPr>
        <w:t>imiento</w:t>
      </w:r>
      <w:proofErr w:type="spellEnd"/>
      <w:r w:rsidRPr="001011E4">
        <w:rPr>
          <w:rFonts w:ascii="Times New Roman" w:hAnsi="Times New Roman" w:cs="Times New Roman"/>
          <w:b/>
          <w:sz w:val="24"/>
          <w:szCs w:val="24"/>
        </w:rPr>
        <w:t>:</w:t>
      </w:r>
    </w:p>
    <w:p w14:paraId="674C014B" w14:textId="77777777" w:rsidR="008D3068" w:rsidRPr="001011E4" w:rsidRDefault="008D3068" w:rsidP="008D3068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9DA937A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Pago con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 y de Pago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Propio</w:t>
      </w:r>
      <w:proofErr w:type="spellEnd"/>
    </w:p>
    <w:p w14:paraId="0158AB7B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1B74056" w14:textId="77777777" w:rsidR="008D3068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Todos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califiquen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cargos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antes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BF4FE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76279BB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Asistencia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Financiera</w:t>
      </w:r>
      <w:proofErr w:type="spellEnd"/>
    </w:p>
    <w:p w14:paraId="47E4E362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2F40862" w14:textId="77777777" w:rsidR="008D3068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on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</w:t>
      </w: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personal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Sin embargo, 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recopilacion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27303" w14:textId="77777777" w:rsidR="008D3068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E332B02" w14:textId="77777777" w:rsidR="008D3068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Hospital Glendora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05BB4C" w14:textId="77777777" w:rsidR="008D3068" w:rsidRPr="001011E4" w:rsidRDefault="008D3068" w:rsidP="008D3068">
      <w:pPr>
        <w:pStyle w:val="ListParagraph"/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le dan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recibira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;</w:t>
      </w:r>
    </w:p>
    <w:p w14:paraId="02EF4F12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31B90DC7" w14:textId="77777777" w:rsidR="008D3068" w:rsidRPr="001011E4" w:rsidRDefault="008D3068" w:rsidP="008D3068">
      <w:pPr>
        <w:pStyle w:val="ListParagraph"/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porciona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respaldar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23525387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B306B" w14:textId="77777777" w:rsidR="008D3068" w:rsidRPr="001011E4" w:rsidRDefault="008D3068" w:rsidP="008D3068">
      <w:pPr>
        <w:pStyle w:val="ListParagraph"/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porciona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auditoria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4D5D528F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5220D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del hospital hara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:</w:t>
      </w:r>
    </w:p>
    <w:p w14:paraId="616807FD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F0768BF" w14:textId="77777777" w:rsidR="008D3068" w:rsidRPr="001011E4" w:rsidRDefault="008D3068" w:rsidP="008D3068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impuestos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A608D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6266A9C2" w14:textId="77777777" w:rsidR="008D3068" w:rsidRPr="001011E4" w:rsidRDefault="008D3068" w:rsidP="008D3068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laboral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ganancias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cubrir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medica.</w:t>
      </w:r>
    </w:p>
    <w:p w14:paraId="178B5B95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53061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compensacion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bajo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compensacion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Segun sea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exenciones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hospital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valor. </w:t>
      </w:r>
    </w:p>
    <w:p w14:paraId="715DDD7D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390705F6" w14:textId="77777777" w:rsidR="008D3068" w:rsidRPr="001011E4" w:rsidRDefault="008D3068" w:rsidP="008D3068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porcentaje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establecidos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5D7C8A74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0DD8670D" w14:textId="77777777" w:rsidR="008D3068" w:rsidRPr="001011E4" w:rsidRDefault="008D3068" w:rsidP="008D3068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Eligibilidad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Medi-Cal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eligibilidad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41F60835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6A5B2B9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traves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proporcionada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circunstancias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determine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personal del Hospital Glendora lo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hospital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elegibilidad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cobro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61209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2AED143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Salud y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Humanos</w:t>
      </w:r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679EEA0E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685F872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area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Glendora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200%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100%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porcentaje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hasta 400%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913B0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544D1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:</w:t>
      </w:r>
    </w:p>
    <w:p w14:paraId="447DE5C2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42988" w14:textId="77777777" w:rsidR="008D3068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11E4">
        <w:rPr>
          <w:rFonts w:ascii="Times New Roman" w:hAnsi="Times New Roman" w:cs="Times New Roman"/>
          <w:sz w:val="24"/>
          <w:szCs w:val="24"/>
        </w:rPr>
        <w:t xml:space="preserve"> 200%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 –</w:t>
      </w:r>
      <w:r w:rsidRPr="00101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11E4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481A0904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 xml:space="preserve">201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11E4">
        <w:rPr>
          <w:rFonts w:ascii="Times New Roman" w:hAnsi="Times New Roman" w:cs="Times New Roman"/>
          <w:sz w:val="24"/>
          <w:szCs w:val="24"/>
        </w:rPr>
        <w:t xml:space="preserve"> 250%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75</w:t>
      </w:r>
      <w:proofErr w:type="gramEnd"/>
      <w:r w:rsidRPr="001011E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29D8CAA7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 xml:space="preserve">251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11E4">
        <w:rPr>
          <w:rFonts w:ascii="Times New Roman" w:hAnsi="Times New Roman" w:cs="Times New Roman"/>
          <w:sz w:val="24"/>
          <w:szCs w:val="24"/>
        </w:rPr>
        <w:t xml:space="preserve"> 300%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50</w:t>
      </w:r>
      <w:proofErr w:type="gramEnd"/>
      <w:r w:rsidRPr="001011E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7CE3273B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 xml:space="preserve">301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1011E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1E4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1011E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3164F5F9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Arriba de</w:t>
      </w:r>
      <w:r w:rsidRPr="0010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1011E4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 –</w:t>
      </w:r>
      <w:r w:rsidRPr="001011E4">
        <w:rPr>
          <w:rFonts w:ascii="Times New Roman" w:hAnsi="Times New Roman" w:cs="Times New Roman"/>
          <w:sz w:val="24"/>
          <w:szCs w:val="24"/>
        </w:rPr>
        <w:tab/>
        <w:t xml:space="preserve">    0%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093D2EE5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ab/>
      </w:r>
      <w:r w:rsidRPr="001011E4">
        <w:rPr>
          <w:rFonts w:ascii="Times New Roman" w:hAnsi="Times New Roman" w:cs="Times New Roman"/>
          <w:sz w:val="24"/>
          <w:szCs w:val="24"/>
        </w:rPr>
        <w:tab/>
      </w:r>
    </w:p>
    <w:p w14:paraId="0B3CCE14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Hospital Glendora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encuentre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400%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esperaria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Medicare.</w:t>
      </w:r>
    </w:p>
    <w:p w14:paraId="36BA824C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57DD2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:</w:t>
      </w:r>
    </w:p>
    <w:p w14:paraId="35589D75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39D65E0" w14:textId="77777777" w:rsidR="008D3068" w:rsidRPr="001011E4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y/u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recopilar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685A0A14" w14:textId="77777777" w:rsidR="008D3068" w:rsidRPr="001011E4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1419AF3" w14:textId="77777777" w:rsidR="008D3068" w:rsidRPr="001011E4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denegados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cubiertos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Medi-Cal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2CE23585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BEF9A" w14:textId="77777777" w:rsidR="008D3068" w:rsidRPr="001011E4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deducibles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deducibles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coaseguro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>.</w:t>
      </w:r>
    </w:p>
    <w:p w14:paraId="1993E14E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738A3" w14:textId="77777777" w:rsidR="008D3068" w:rsidRPr="001011E4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personal del hospital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recomendaciones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(Anexo A) y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(Anexo B).</w:t>
      </w:r>
    </w:p>
    <w:p w14:paraId="3684B41C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E696B" w14:textId="77777777" w:rsidR="008D3068" w:rsidRPr="00D85B85" w:rsidRDefault="008D3068" w:rsidP="008D306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personal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catastrofico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catastrofico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cargos del hospital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superior al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bolsillo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12 meses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100%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400%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 w:rsidRPr="00D46A95">
        <w:rPr>
          <w:rFonts w:ascii="Times New Roman" w:hAnsi="Times New Roman" w:cs="Times New Roman"/>
          <w:sz w:val="24"/>
          <w:szCs w:val="24"/>
        </w:rPr>
        <w:t>.</w:t>
      </w:r>
    </w:p>
    <w:p w14:paraId="0A1F0025" w14:textId="77777777" w:rsidR="008D3068" w:rsidRPr="003E4EE8" w:rsidRDefault="008D3068" w:rsidP="008D30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554FD9" w14:textId="77777777" w:rsidR="008D3068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E531D0" w14:textId="77777777" w:rsidR="008D3068" w:rsidRPr="003E4EE8" w:rsidRDefault="008D3068" w:rsidP="008D30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4EDAD" w14:textId="77777777" w:rsidR="008D3068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fallecido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patrimonio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0EDC18" w14:textId="77777777" w:rsidR="008D3068" w:rsidRPr="00FC5F9E" w:rsidRDefault="008D3068" w:rsidP="008D30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E3AD1" w14:textId="77777777" w:rsidR="008D3068" w:rsidRDefault="008D3068" w:rsidP="008D3068">
      <w:pPr>
        <w:pStyle w:val="ListParagraph"/>
        <w:numPr>
          <w:ilvl w:val="0"/>
          <w:numId w:val="2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cancelaciones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circunstancias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indiquen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Bancarrotas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C3434F" w14:textId="77777777" w:rsidR="008D3068" w:rsidRPr="00FC5F9E" w:rsidRDefault="008D3068" w:rsidP="008D30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FA104E" w14:textId="66921865" w:rsidR="008D3068" w:rsidRDefault="008D3068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0DBED0A2" w14:textId="6C568694" w:rsidR="00D54037" w:rsidRDefault="00D54037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4E75D0A7" w14:textId="18D27E4C" w:rsidR="00D54037" w:rsidRDefault="00D54037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5E43E51A" w14:textId="77777777" w:rsidR="00D54037" w:rsidRPr="001011E4" w:rsidRDefault="00D54037" w:rsidP="008D3068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1C505BAD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9BF6F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</w:p>
    <w:p w14:paraId="2991D905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B3F6A88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razonables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tan pronto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 possible. 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ocurrir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antes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comiencen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Hospital Glendora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consumidor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antes de los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cobro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caritative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Hospital Glendora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que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personal del hospital hara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recomendacion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decision final.</w:t>
      </w:r>
      <w:r w:rsidRPr="0010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6DBD1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BB6CA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1E4">
        <w:rPr>
          <w:rFonts w:ascii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hAnsi="Times New Roman" w:cs="Times New Roman"/>
          <w:sz w:val="24"/>
          <w:szCs w:val="24"/>
        </w:rPr>
        <w:t>elaciones</w:t>
      </w:r>
      <w:proofErr w:type="spellEnd"/>
    </w:p>
    <w:p w14:paraId="0BF069BC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114F8A3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decision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derecho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revision del Director d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/o del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una revision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101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3468E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6780B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011E4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de Pago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Extendido</w:t>
      </w:r>
      <w:proofErr w:type="spellEnd"/>
    </w:p>
    <w:p w14:paraId="0838429F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16094B7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cargos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dentro de un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Este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libre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 personal del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extender un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 por 12 meses.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13 a 24 meses debe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planes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24 meses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y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ofrecera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plan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ingresos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excluyendo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deducciones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subsistencia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subsistencia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los fines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disposicion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cualquiera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alquiler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mantenimiento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medicos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niños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conyuge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automoviles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gasoline y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lavanderia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limpieza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0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63136" w14:textId="77777777" w:rsidR="008D3068" w:rsidRPr="001011E4" w:rsidRDefault="008D3068" w:rsidP="008D3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A9A7E" w14:textId="77777777" w:rsidR="008D3068" w:rsidRPr="001011E4" w:rsidRDefault="008D3068" w:rsidP="008D3068">
      <w:pPr>
        <w:pStyle w:val="ListParagraph"/>
        <w:numPr>
          <w:ilvl w:val="0"/>
          <w:numId w:val="2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</w:p>
    <w:p w14:paraId="2CD59E41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A24EC39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 medico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hospital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ley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descuentos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aseguranza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altos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medicos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encuentran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400%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 “Medico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medico y </w:t>
      </w:r>
      <w:proofErr w:type="spellStart"/>
      <w:r>
        <w:rPr>
          <w:rFonts w:ascii="Times New Roman" w:hAnsi="Times New Roman" w:cs="Times New Roman"/>
          <w:sz w:val="24"/>
          <w:szCs w:val="24"/>
        </w:rPr>
        <w:t>cirujano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Capitulo 5 (a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2000) de la Division 2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acreditado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un hospital y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empleado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un “medico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 medico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hospital 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personal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privilegios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hospital </w:t>
      </w:r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0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6FA8F" w14:textId="77777777" w:rsidR="008D3068" w:rsidRPr="001011E4" w:rsidRDefault="008D3068" w:rsidP="008D306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6470E19" w14:textId="77777777" w:rsidR="008D3068" w:rsidRPr="001011E4" w:rsidRDefault="008D3068" w:rsidP="008D306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EF4C03B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E7F67AF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8B96CA7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C8A38D5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DB30803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847439D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0F9C6CA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4BE44F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F829BFD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0A72B53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835F702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951B1C4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E1D5BDB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759CE7A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B530A24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BB8EF9A" w14:textId="77777777" w:rsidR="008D3068" w:rsidRDefault="008D3068" w:rsidP="008D306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0DA992A" w14:textId="3E08FB2A" w:rsidR="008D3068" w:rsidRPr="002D5508" w:rsidRDefault="008D3068" w:rsidP="008D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2D5508">
        <w:rPr>
          <w:rFonts w:ascii="Arial" w:hAnsi="Arial" w:cs="Arial"/>
          <w:b/>
          <w:color w:val="000000"/>
          <w:sz w:val="36"/>
          <w:szCs w:val="36"/>
        </w:rPr>
        <w:lastRenderedPageBreak/>
        <w:t>202</w:t>
      </w:r>
      <w:r w:rsidR="00DB3783">
        <w:rPr>
          <w:rFonts w:ascii="Arial" w:hAnsi="Arial" w:cs="Arial"/>
          <w:b/>
          <w:color w:val="000000"/>
          <w:sz w:val="36"/>
          <w:szCs w:val="36"/>
        </w:rPr>
        <w:t>4</w:t>
      </w:r>
      <w:r w:rsidRPr="002D5508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6"/>
          <w:szCs w:val="36"/>
        </w:rPr>
        <w:t>Guias</w:t>
      </w:r>
      <w:proofErr w:type="spellEnd"/>
      <w:r>
        <w:rPr>
          <w:rFonts w:ascii="Arial" w:hAnsi="Arial" w:cs="Arial"/>
          <w:b/>
          <w:color w:val="000000"/>
          <w:sz w:val="36"/>
          <w:szCs w:val="36"/>
        </w:rPr>
        <w:t xml:space="preserve"> de </w:t>
      </w:r>
      <w:r w:rsidR="00DB3783">
        <w:rPr>
          <w:rFonts w:ascii="Arial" w:hAnsi="Arial" w:cs="Arial"/>
          <w:b/>
          <w:color w:val="000000"/>
          <w:sz w:val="36"/>
          <w:szCs w:val="36"/>
        </w:rPr>
        <w:t>Pores</w:t>
      </w:r>
    </w:p>
    <w:p w14:paraId="7D3294B4" w14:textId="77777777" w:rsidR="008D3068" w:rsidRPr="002D5508" w:rsidRDefault="008D3068" w:rsidP="008D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87FC34A" w14:textId="77777777" w:rsidR="008D3068" w:rsidRDefault="008D3068" w:rsidP="008D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Guias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federales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pobreza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EE UU.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Utilizadas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determiner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eligibilidad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financiera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ciertos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federales.</w:t>
      </w:r>
    </w:p>
    <w:p w14:paraId="7873B822" w14:textId="77777777" w:rsidR="008D3068" w:rsidRDefault="008D3068" w:rsidP="008D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00E904" w14:textId="19A638E5" w:rsidR="008D3068" w:rsidRDefault="008D3068" w:rsidP="008D30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Las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siguientes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cifras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son las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guias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pobreza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del HHS de 202</w:t>
      </w:r>
      <w:r w:rsidR="00DB3783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se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publicaran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Registro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Federal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</w:t>
      </w:r>
      <w:r w:rsidR="00DB3783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Enero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</w:t>
      </w:r>
      <w:r w:rsidR="00DB3783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(se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publicara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informacion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adicional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despues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que se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publiquen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guias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).</w:t>
      </w:r>
    </w:p>
    <w:p w14:paraId="24A95247" w14:textId="3E4FD10A" w:rsidR="00C15FB8" w:rsidRPr="008D3068" w:rsidRDefault="008D3068" w:rsidP="00DB3783">
      <w:pPr>
        <w:autoSpaceDE w:val="0"/>
        <w:autoSpaceDN w:val="0"/>
        <w:adjustRightInd w:val="0"/>
        <w:spacing w:after="0" w:line="240" w:lineRule="auto"/>
        <w:jc w:val="center"/>
      </w:pPr>
      <w:r w:rsidRPr="007B48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EA67EC" wp14:editId="07A1AC65">
                <wp:simplePos x="0" y="0"/>
                <wp:positionH relativeFrom="column">
                  <wp:posOffset>647700</wp:posOffset>
                </wp:positionH>
                <wp:positionV relativeFrom="paragraph">
                  <wp:posOffset>4095750</wp:posOffset>
                </wp:positionV>
                <wp:extent cx="4667250" cy="466725"/>
                <wp:effectExtent l="0" t="0" r="0" b="9525"/>
                <wp:wrapNone/>
                <wp:docPr id="819416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39AAA" w14:textId="77777777" w:rsidR="008D3068" w:rsidRPr="00605EAB" w:rsidRDefault="008D3068" w:rsidP="008D306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05EAB">
                              <w:rPr>
                                <w:sz w:val="21"/>
                                <w:szCs w:val="21"/>
                              </w:rPr>
                              <w:t>Para familias/hogares con mas de 8 personas, agregue $5,140 adicional por cada persona.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322.5pt;width:367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" fillcolor="white [3212]" stroked="f">
                <v:textbox>
                  <w:txbxContent>
                    <w:p w14:paraId="0D939AAA" w14:textId="77777777" w:rsidR="008D3068" w:rsidRPr="00605EAB" w:rsidRDefault="008D3068" w:rsidP="008D3068">
                      <w:pPr>
                        <w:rPr>
                          <w:sz w:val="21"/>
                          <w:szCs w:val="21"/>
                        </w:rPr>
                      </w:pPr>
                      <w:r w:rsidRPr="00605EAB">
                        <w:rPr>
                          <w:sz w:val="21"/>
                          <w:szCs w:val="21"/>
                        </w:rPr>
                        <w:t xml:space="preserve">Para </w:t>
                      </w:r>
                      <w:proofErr w:type="spellStart"/>
                      <w:r w:rsidRPr="00605EAB">
                        <w:rPr>
                          <w:sz w:val="21"/>
                          <w:szCs w:val="21"/>
                        </w:rPr>
                        <w:t>familias</w:t>
                      </w:r>
                      <w:proofErr w:type="spellEnd"/>
                      <w:r w:rsidRPr="00605EAB">
                        <w:rPr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605EAB">
                        <w:rPr>
                          <w:sz w:val="21"/>
                          <w:szCs w:val="21"/>
                        </w:rPr>
                        <w:t>hogares</w:t>
                      </w:r>
                      <w:proofErr w:type="spellEnd"/>
                      <w:r w:rsidRPr="00605EAB">
                        <w:rPr>
                          <w:sz w:val="21"/>
                          <w:szCs w:val="21"/>
                        </w:rPr>
                        <w:t xml:space="preserve"> con mas de 8 personas, </w:t>
                      </w:r>
                      <w:proofErr w:type="spellStart"/>
                      <w:r w:rsidRPr="00605EAB">
                        <w:rPr>
                          <w:sz w:val="21"/>
                          <w:szCs w:val="21"/>
                        </w:rPr>
                        <w:t>agregue</w:t>
                      </w:r>
                      <w:proofErr w:type="spellEnd"/>
                      <w:r w:rsidRPr="00605EAB">
                        <w:rPr>
                          <w:sz w:val="21"/>
                          <w:szCs w:val="21"/>
                        </w:rPr>
                        <w:t xml:space="preserve"> $5,140 </w:t>
                      </w:r>
                      <w:proofErr w:type="spellStart"/>
                      <w:r w:rsidRPr="00605EAB">
                        <w:rPr>
                          <w:sz w:val="21"/>
                          <w:szCs w:val="21"/>
                        </w:rPr>
                        <w:t>adicional</w:t>
                      </w:r>
                      <w:proofErr w:type="spellEnd"/>
                      <w:r w:rsidRPr="00605EAB">
                        <w:rPr>
                          <w:sz w:val="21"/>
                          <w:szCs w:val="21"/>
                        </w:rPr>
                        <w:t xml:space="preserve"> por </w:t>
                      </w:r>
                      <w:proofErr w:type="spellStart"/>
                      <w:r w:rsidRPr="00605EAB">
                        <w:rPr>
                          <w:sz w:val="21"/>
                          <w:szCs w:val="21"/>
                        </w:rPr>
                        <w:t>cada</w:t>
                      </w:r>
                      <w:proofErr w:type="spellEnd"/>
                      <w:r w:rsidRPr="00605EAB">
                        <w:rPr>
                          <w:sz w:val="21"/>
                          <w:szCs w:val="21"/>
                        </w:rPr>
                        <w:t xml:space="preserve"> persona.</w:t>
                      </w:r>
                    </w:p>
                  </w:txbxContent>
                </v:textbox>
              </v:shape>
            </w:pict>
          </mc:Fallback>
        </mc:AlternateContent>
      </w:r>
      <w:r w:rsidRPr="007B48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F4221" wp14:editId="4178E8F8">
                <wp:simplePos x="0" y="0"/>
                <wp:positionH relativeFrom="column">
                  <wp:posOffset>3514725</wp:posOffset>
                </wp:positionH>
                <wp:positionV relativeFrom="paragraph">
                  <wp:posOffset>676275</wp:posOffset>
                </wp:positionV>
                <wp:extent cx="1714500" cy="285750"/>
                <wp:effectExtent l="0" t="0" r="0" b="0"/>
                <wp:wrapNone/>
                <wp:docPr id="2026769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E0B2" w14:textId="77777777" w:rsidR="008D3068" w:rsidRPr="00C05EA6" w:rsidRDefault="008D3068" w:rsidP="008D306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Guia de pobreza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4221" id="_x0000_s1027" type="#_x0000_t202" style="position:absolute;left:0;text-align:left;margin-left:276.75pt;margin-top:53.25pt;width:13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" fillcolor="#dbdbdb" stroked="f">
                <v:textbox>
                  <w:txbxContent>
                    <w:p w14:paraId="28FBE0B2" w14:textId="77777777" w:rsidR="008D3068" w:rsidRPr="00C05EA6" w:rsidRDefault="008D3068" w:rsidP="008D306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Guia</w:t>
                      </w:r>
                      <w:proofErr w:type="spellEnd"/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pobreza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48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8E4B08" wp14:editId="2BE1630D">
                <wp:simplePos x="0" y="0"/>
                <wp:positionH relativeFrom="column">
                  <wp:posOffset>647700</wp:posOffset>
                </wp:positionH>
                <wp:positionV relativeFrom="paragraph">
                  <wp:posOffset>676275</wp:posOffset>
                </wp:positionV>
                <wp:extent cx="2762250" cy="285750"/>
                <wp:effectExtent l="0" t="0" r="0" b="0"/>
                <wp:wrapNone/>
                <wp:docPr id="502629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178" w14:textId="77777777" w:rsidR="008D3068" w:rsidRPr="00C05EA6" w:rsidRDefault="008D3068" w:rsidP="008D306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05EA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Personas en una familia/hogar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4B08" id="_x0000_s1028" type="#_x0000_t202" style="position:absolute;left:0;text-align:left;margin-left:51pt;margin-top:53.25pt;width:217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" fillcolor="#dbdbdb" stroked="f">
                <v:textbox>
                  <w:txbxContent>
                    <w:p w14:paraId="17634178" w14:textId="77777777" w:rsidR="008D3068" w:rsidRPr="00C05EA6" w:rsidRDefault="008D3068" w:rsidP="008D306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 xml:space="preserve">Personas </w:t>
                      </w:r>
                      <w:proofErr w:type="spellStart"/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 xml:space="preserve"> una </w:t>
                      </w:r>
                      <w:proofErr w:type="spellStart"/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>familia</w:t>
                      </w:r>
                      <w:proofErr w:type="spellEnd"/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C05EA6">
                        <w:rPr>
                          <w:b/>
                          <w:bCs/>
                          <w:sz w:val="21"/>
                          <w:szCs w:val="21"/>
                        </w:rPr>
                        <w:t>hogar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48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A1A7D8" wp14:editId="54B0ACD5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4667250" cy="5048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2FD8" w14:textId="77777777" w:rsidR="008D3068" w:rsidRPr="00C05EA6" w:rsidRDefault="008D3068" w:rsidP="008D30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5EA6">
                              <w:rPr>
                                <w:b/>
                                <w:bCs/>
                              </w:rPr>
                              <w:t>GUIAS DE POBREZA DE 2023 PARA LOS 48 ESTADOS CONTIGUOS Y EL DISTRITO DE COLUMBIA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A7D8" id="_x0000_s1029" type="#_x0000_t202" style="position:absolute;left:0;text-align:left;margin-left:51pt;margin-top:6pt;width:367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" fillcolor="#d6e3bc [1302]" stroked="f">
                <v:textbox>
                  <w:txbxContent>
                    <w:p w14:paraId="2A4D2FD8" w14:textId="77777777" w:rsidR="008D3068" w:rsidRPr="00C05EA6" w:rsidRDefault="008D3068" w:rsidP="008D3068">
                      <w:pPr>
                        <w:rPr>
                          <w:b/>
                          <w:bCs/>
                        </w:rPr>
                      </w:pPr>
                      <w:r w:rsidRPr="00C05EA6">
                        <w:rPr>
                          <w:b/>
                          <w:bCs/>
                        </w:rPr>
                        <w:t>GUIAS DE POBREZA DE 2023 PARA LOS 48 ESTADOS CONTIGUOS Y EL DISTRITO DE COLUMBIA</w:t>
                      </w:r>
                    </w:p>
                  </w:txbxContent>
                </v:textbox>
              </v:shape>
            </w:pict>
          </mc:Fallback>
        </mc:AlternateContent>
      </w:r>
      <w:r w:rsidRPr="009A460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E35D65" wp14:editId="560A345F">
            <wp:extent cx="4829175" cy="46319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6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FB8" w:rsidRPr="008D3068" w:rsidSect="00DB3783">
      <w:headerReference w:type="default" r:id="rId9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77CE" w14:textId="77777777" w:rsidR="00D400F0" w:rsidRDefault="00D400F0" w:rsidP="00A03391">
      <w:pPr>
        <w:spacing w:after="0" w:line="240" w:lineRule="auto"/>
      </w:pPr>
      <w:r>
        <w:separator/>
      </w:r>
    </w:p>
  </w:endnote>
  <w:endnote w:type="continuationSeparator" w:id="0">
    <w:p w14:paraId="08F55021" w14:textId="77777777" w:rsidR="00D400F0" w:rsidRDefault="00D400F0" w:rsidP="00A0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7A40" w14:textId="77777777" w:rsidR="00D400F0" w:rsidRDefault="00D400F0" w:rsidP="00A03391">
      <w:pPr>
        <w:spacing w:after="0" w:line="240" w:lineRule="auto"/>
      </w:pPr>
      <w:r>
        <w:separator/>
      </w:r>
    </w:p>
  </w:footnote>
  <w:footnote w:type="continuationSeparator" w:id="0">
    <w:p w14:paraId="3E34C935" w14:textId="77777777" w:rsidR="00D400F0" w:rsidRDefault="00D400F0" w:rsidP="00A0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B160" w14:textId="77777777" w:rsidR="00BA1B93" w:rsidRDefault="00BA1B93">
    <w:pPr>
      <w:pStyle w:val="Header"/>
    </w:pPr>
    <w:r>
      <w:rPr>
        <w:noProof/>
      </w:rPr>
      <w:drawing>
        <wp:inline distT="0" distB="0" distL="0" distR="0" wp14:anchorId="4131B882" wp14:editId="2B802BCB">
          <wp:extent cx="6000750" cy="10127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PG - Glendora Hospital 3 1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3258" cy="102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620" w:type="dxa"/>
      <w:tblInd w:w="-432" w:type="dxa"/>
      <w:tblBorders>
        <w:top w:val="thinThickThinSmallGap" w:sz="24" w:space="0" w:color="000080"/>
        <w:left w:val="thinThickThinSmallGap" w:sz="24" w:space="0" w:color="000080"/>
        <w:bottom w:val="thinThickThinSmallGap" w:sz="24" w:space="0" w:color="000080"/>
        <w:right w:val="thinThickThinSmallGap" w:sz="24" w:space="0" w:color="000080"/>
        <w:insideH w:val="single" w:sz="6" w:space="0" w:color="000080"/>
        <w:insideV w:val="single" w:sz="6" w:space="0" w:color="000080"/>
      </w:tblBorders>
      <w:tblLayout w:type="fixed"/>
      <w:tblLook w:val="01E0" w:firstRow="1" w:lastRow="1" w:firstColumn="1" w:lastColumn="1" w:noHBand="0" w:noVBand="0"/>
    </w:tblPr>
    <w:tblGrid>
      <w:gridCol w:w="3420"/>
      <w:gridCol w:w="4500"/>
      <w:gridCol w:w="2700"/>
    </w:tblGrid>
    <w:tr w:rsidR="00592F1A" w:rsidRPr="0070273F" w14:paraId="4B01886E" w14:textId="77777777" w:rsidTr="00D84B06">
      <w:trPr>
        <w:trHeight w:val="1050"/>
      </w:trPr>
      <w:tc>
        <w:tcPr>
          <w:tcW w:w="3420" w:type="dxa"/>
        </w:tcPr>
        <w:p w14:paraId="64FB52DD" w14:textId="7BEB90DB" w:rsidR="00592F1A" w:rsidRPr="00982623" w:rsidRDefault="00592F1A" w:rsidP="00592F1A">
          <w:pPr>
            <w:spacing w:before="120" w:after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>Manual: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Administrative</w:t>
          </w:r>
        </w:p>
        <w:p w14:paraId="18A6E1D3" w14:textId="4A96EC82" w:rsidR="00592F1A" w:rsidRPr="00982623" w:rsidRDefault="00592F1A" w:rsidP="00592F1A">
          <w:pPr>
            <w:spacing w:before="120" w:after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Owner: </w:t>
          </w:r>
          <w:r w:rsidRPr="001011E4">
            <w:rPr>
              <w:rFonts w:ascii="Times New Roman" w:hAnsi="Times New Roman" w:cs="Times New Roman"/>
              <w:sz w:val="24"/>
              <w:szCs w:val="24"/>
            </w:rPr>
            <w:t>Chief Financial Officer</w:t>
          </w:r>
        </w:p>
      </w:tc>
      <w:tc>
        <w:tcPr>
          <w:tcW w:w="4500" w:type="dxa"/>
          <w:vAlign w:val="center"/>
        </w:tcPr>
        <w:p w14:paraId="55321798" w14:textId="66E9F063" w:rsidR="00592F1A" w:rsidRPr="00982623" w:rsidRDefault="00592F1A" w:rsidP="00592F1A">
          <w:pPr>
            <w:spacing w:before="120"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11E4">
            <w:rPr>
              <w:rFonts w:ascii="Times New Roman" w:hAnsi="Times New Roman" w:cs="Times New Roman"/>
              <w:sz w:val="24"/>
              <w:szCs w:val="24"/>
            </w:rPr>
            <w:t xml:space="preserve">Charity Care and Discount Payment </w:t>
          </w:r>
        </w:p>
      </w:tc>
      <w:tc>
        <w:tcPr>
          <w:tcW w:w="2700" w:type="dxa"/>
          <w:vAlign w:val="center"/>
        </w:tcPr>
        <w:p w14:paraId="0E0B9ACF" w14:textId="33963CA3" w:rsidR="00592F1A" w:rsidRPr="0053704B" w:rsidRDefault="00592F1A" w:rsidP="00592F1A">
          <w:pPr>
            <w:spacing w:before="120"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3704B">
            <w:rPr>
              <w:rFonts w:ascii="Times New Roman" w:hAnsi="Times New Roman" w:cs="Times New Roman"/>
              <w:b/>
              <w:sz w:val="24"/>
              <w:szCs w:val="24"/>
            </w:rPr>
            <w:t>***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Abbr. – Policy #</w:t>
          </w:r>
          <w:r w:rsidRPr="0053704B">
            <w:rPr>
              <w:rFonts w:ascii="Times New Roman" w:hAnsi="Times New Roman" w:cs="Times New Roman"/>
              <w:b/>
              <w:sz w:val="24"/>
              <w:szCs w:val="24"/>
            </w:rPr>
            <w:t xml:space="preserve"> ***</w:t>
          </w:r>
        </w:p>
        <w:p w14:paraId="7DC0080B" w14:textId="482D09EE" w:rsidR="00592F1A" w:rsidRPr="0053704B" w:rsidRDefault="00592F1A" w:rsidP="00592F1A">
          <w:pPr>
            <w:spacing w:before="120" w:after="12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</w:tr>
    <w:tr w:rsidR="00592F1A" w:rsidRPr="0070273F" w14:paraId="6C96F64D" w14:textId="77777777" w:rsidTr="00791D6B">
      <w:tc>
        <w:tcPr>
          <w:tcW w:w="3420" w:type="dxa"/>
        </w:tcPr>
        <w:p w14:paraId="14DBB64F" w14:textId="07BD8C76" w:rsidR="00592F1A" w:rsidRPr="00982623" w:rsidRDefault="00592F1A" w:rsidP="00592F1A">
          <w:pPr>
            <w:spacing w:before="20" w:after="4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Origination Date:  </w:t>
          </w:r>
          <w:r>
            <w:rPr>
              <w:rFonts w:ascii="Times New Roman" w:hAnsi="Times New Roman" w:cs="Times New Roman"/>
              <w:sz w:val="24"/>
              <w:szCs w:val="24"/>
            </w:rPr>
            <w:t>06/17/2021</w:t>
          </w:r>
          <w:r w:rsidR="00C1473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4BEDC014" w14:textId="13A7BFA2" w:rsidR="00592F1A" w:rsidRPr="00982623" w:rsidRDefault="00592F1A" w:rsidP="00592F1A">
          <w:pPr>
            <w:spacing w:before="20" w:after="4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Last Revised: 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27</w:t>
          </w:r>
          <w:r>
            <w:rPr>
              <w:rFonts w:ascii="Times New Roman" w:hAnsi="Times New Roman" w:cs="Times New Roman"/>
              <w:sz w:val="24"/>
              <w:szCs w:val="24"/>
            </w:rPr>
            <w:t>/202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7AEE8EC3" w14:textId="30528A22" w:rsidR="00592F1A" w:rsidRPr="00982623" w:rsidRDefault="00592F1A" w:rsidP="00592F1A">
          <w:pPr>
            <w:spacing w:before="20" w:after="4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Last Reviewed: </w:t>
          </w:r>
          <w:r>
            <w:rPr>
              <w:rFonts w:ascii="Times New Roman" w:hAnsi="Times New Roman" w:cs="Times New Roman"/>
              <w:sz w:val="24"/>
              <w:szCs w:val="24"/>
            </w:rPr>
            <w:t>0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27</w:t>
          </w:r>
          <w:r>
            <w:rPr>
              <w:rFonts w:ascii="Times New Roman" w:hAnsi="Times New Roman" w:cs="Times New Roman"/>
              <w:sz w:val="24"/>
              <w:szCs w:val="24"/>
            </w:rPr>
            <w:t>/202</w:t>
          </w:r>
          <w:r w:rsidR="00DB3783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2CE7C454" w14:textId="5751F77E" w:rsidR="00592F1A" w:rsidRPr="00982623" w:rsidRDefault="00592F1A" w:rsidP="00592F1A">
          <w:pPr>
            <w:spacing w:before="20" w:after="4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Submitted By:  </w:t>
          </w:r>
          <w:r>
            <w:rPr>
              <w:rFonts w:ascii="Times New Roman" w:hAnsi="Times New Roman" w:cs="Times New Roman"/>
              <w:sz w:val="24"/>
              <w:szCs w:val="24"/>
            </w:rPr>
            <w:t>Jose Velasquez</w:t>
          </w:r>
        </w:p>
      </w:tc>
      <w:tc>
        <w:tcPr>
          <w:tcW w:w="4500" w:type="dxa"/>
        </w:tcPr>
        <w:p w14:paraId="52639D29" w14:textId="77777777" w:rsidR="00592F1A" w:rsidRPr="00982623" w:rsidRDefault="00592F1A" w:rsidP="00592F1A">
          <w:pPr>
            <w:tabs>
              <w:tab w:val="left" w:pos="5040"/>
            </w:tabs>
            <w:spacing w:before="20" w:after="4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t>APPROVAL</w:t>
          </w:r>
        </w:p>
        <w:p w14:paraId="52911525" w14:textId="77777777" w:rsidR="00592F1A" w:rsidRPr="00982623" w:rsidRDefault="00592F1A" w:rsidP="00592F1A">
          <w:pPr>
            <w:tabs>
              <w:tab w:val="left" w:pos="5040"/>
            </w:tabs>
            <w:spacing w:before="20" w:after="4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</w:p>
        <w:p w14:paraId="22E511D2" w14:textId="361DA035" w:rsidR="00592F1A" w:rsidRPr="00982623" w:rsidRDefault="00592F1A" w:rsidP="00592F1A">
          <w:pPr>
            <w:tabs>
              <w:tab w:val="left" w:pos="5040"/>
            </w:tabs>
            <w:spacing w:before="20" w:after="4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  Medical Executive Committee    </w:t>
          </w:r>
        </w:p>
        <w:p w14:paraId="48E975E9" w14:textId="2997D12B" w:rsidR="00592F1A" w:rsidRPr="00982623" w:rsidRDefault="00592F1A" w:rsidP="00592F1A">
          <w:pPr>
            <w:spacing w:before="60" w:after="60"/>
            <w:rPr>
              <w:rFonts w:ascii="Times New Roman" w:hAnsi="Times New Roman" w:cs="Times New Roman"/>
              <w:sz w:val="24"/>
              <w:szCs w:val="24"/>
            </w:rPr>
          </w:pPr>
          <w:r w:rsidRPr="00982623">
            <w:rPr>
              <w:rFonts w:ascii="Times New Roman" w:hAnsi="Times New Roman" w:cs="Times New Roman"/>
              <w:sz w:val="24"/>
              <w:szCs w:val="24"/>
            </w:rPr>
            <w:t xml:space="preserve">  Governing Board                         </w:t>
          </w:r>
        </w:p>
      </w:tc>
      <w:tc>
        <w:tcPr>
          <w:tcW w:w="2700" w:type="dxa"/>
        </w:tcPr>
        <w:p w14:paraId="3F5D5691" w14:textId="77777777" w:rsidR="00592F1A" w:rsidRPr="00982623" w:rsidRDefault="00592F1A" w:rsidP="00592F1A">
          <w:pPr>
            <w:spacing w:before="60" w:after="60"/>
            <w:rPr>
              <w:rFonts w:ascii="Times New Roman" w:hAnsi="Times New Roman" w:cs="Times New Roman"/>
              <w:sz w:val="24"/>
              <w:szCs w:val="24"/>
            </w:rPr>
          </w:pPr>
        </w:p>
        <w:p w14:paraId="7ACEDA3B" w14:textId="2716F0B9" w:rsidR="00592F1A" w:rsidRPr="00982623" w:rsidRDefault="00592F1A" w:rsidP="00592F1A">
          <w:pPr>
            <w:spacing w:before="60" w:after="60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</w:pP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t xml:space="preserve">Page </w:t>
          </w: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</w:instrText>
          </w: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982623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982623">
            <w:rPr>
              <w:rFonts w:ascii="Times New Roman" w:hAnsi="Times New Roman" w:cs="Times New Roman"/>
              <w:b/>
              <w:sz w:val="24"/>
              <w:szCs w:val="24"/>
            </w:rPr>
            <w:t xml:space="preserve"> of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</w:tbl>
  <w:p w14:paraId="7673E553" w14:textId="77777777" w:rsidR="00BA1B93" w:rsidRDefault="00BA1B93">
    <w:pPr>
      <w:pStyle w:val="Header"/>
    </w:pPr>
  </w:p>
  <w:p w14:paraId="57319D02" w14:textId="77777777" w:rsidR="00BA1B93" w:rsidRDefault="00BA1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C5"/>
    <w:multiLevelType w:val="hybridMultilevel"/>
    <w:tmpl w:val="74FE8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4EF"/>
    <w:multiLevelType w:val="hybridMultilevel"/>
    <w:tmpl w:val="1F9AB11A"/>
    <w:lvl w:ilvl="0" w:tplc="0B5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A6B"/>
    <w:multiLevelType w:val="hybridMultilevel"/>
    <w:tmpl w:val="4062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17A"/>
    <w:multiLevelType w:val="hybridMultilevel"/>
    <w:tmpl w:val="C544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0AEB"/>
    <w:multiLevelType w:val="hybridMultilevel"/>
    <w:tmpl w:val="1320FC32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7116"/>
    <w:multiLevelType w:val="hybridMultilevel"/>
    <w:tmpl w:val="EA507C08"/>
    <w:lvl w:ilvl="0" w:tplc="B716666E">
      <w:start w:val="1"/>
      <w:numFmt w:val="decimal"/>
      <w:lvlText w:val="%1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FF2DC4"/>
    <w:multiLevelType w:val="hybridMultilevel"/>
    <w:tmpl w:val="D960B91C"/>
    <w:lvl w:ilvl="0" w:tplc="93908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6DA8"/>
    <w:multiLevelType w:val="hybridMultilevel"/>
    <w:tmpl w:val="3BE88AC0"/>
    <w:lvl w:ilvl="0" w:tplc="F57AE2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5CA57BC"/>
    <w:multiLevelType w:val="hybridMultilevel"/>
    <w:tmpl w:val="4412DAE4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8EC"/>
    <w:multiLevelType w:val="hybridMultilevel"/>
    <w:tmpl w:val="D1D8D220"/>
    <w:lvl w:ilvl="0" w:tplc="2CE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495"/>
    <w:multiLevelType w:val="hybridMultilevel"/>
    <w:tmpl w:val="31307580"/>
    <w:lvl w:ilvl="0" w:tplc="0B5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6338A"/>
    <w:multiLevelType w:val="hybridMultilevel"/>
    <w:tmpl w:val="E1BC9F02"/>
    <w:lvl w:ilvl="0" w:tplc="43C2F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6A12"/>
    <w:multiLevelType w:val="hybridMultilevel"/>
    <w:tmpl w:val="E5CC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7277"/>
    <w:multiLevelType w:val="hybridMultilevel"/>
    <w:tmpl w:val="35DC9B98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3A9E"/>
    <w:multiLevelType w:val="hybridMultilevel"/>
    <w:tmpl w:val="DFBCD632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B4D2F"/>
    <w:multiLevelType w:val="hybridMultilevel"/>
    <w:tmpl w:val="50680BF0"/>
    <w:lvl w:ilvl="0" w:tplc="B6323A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3A35941"/>
    <w:multiLevelType w:val="hybridMultilevel"/>
    <w:tmpl w:val="CAFA59F6"/>
    <w:lvl w:ilvl="0" w:tplc="C9F682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EB246B"/>
    <w:multiLevelType w:val="hybridMultilevel"/>
    <w:tmpl w:val="707EFE0E"/>
    <w:lvl w:ilvl="0" w:tplc="E8D6E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66CAA"/>
    <w:multiLevelType w:val="hybridMultilevel"/>
    <w:tmpl w:val="E496FEA8"/>
    <w:lvl w:ilvl="0" w:tplc="800CCF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577729"/>
    <w:multiLevelType w:val="hybridMultilevel"/>
    <w:tmpl w:val="9216E4C0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A068F"/>
    <w:multiLevelType w:val="hybridMultilevel"/>
    <w:tmpl w:val="8C8A04FE"/>
    <w:lvl w:ilvl="0" w:tplc="D5C43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6451A"/>
    <w:multiLevelType w:val="hybridMultilevel"/>
    <w:tmpl w:val="6128B986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4595E"/>
    <w:multiLevelType w:val="hybridMultilevel"/>
    <w:tmpl w:val="86866162"/>
    <w:lvl w:ilvl="0" w:tplc="4D0A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62F9D"/>
    <w:multiLevelType w:val="hybridMultilevel"/>
    <w:tmpl w:val="DEFAB14C"/>
    <w:lvl w:ilvl="0" w:tplc="0B5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629AC"/>
    <w:multiLevelType w:val="hybridMultilevel"/>
    <w:tmpl w:val="CCB0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7"/>
  </w:num>
  <w:num w:numId="5">
    <w:abstractNumId w:val="20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24"/>
  </w:num>
  <w:num w:numId="11">
    <w:abstractNumId w:val="8"/>
  </w:num>
  <w:num w:numId="12">
    <w:abstractNumId w:val="14"/>
  </w:num>
  <w:num w:numId="13">
    <w:abstractNumId w:val="4"/>
  </w:num>
  <w:num w:numId="14">
    <w:abstractNumId w:val="22"/>
  </w:num>
  <w:num w:numId="15">
    <w:abstractNumId w:val="13"/>
  </w:num>
  <w:num w:numId="16">
    <w:abstractNumId w:val="21"/>
  </w:num>
  <w:num w:numId="17">
    <w:abstractNumId w:val="10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8"/>
  </w:num>
  <w:num w:numId="23">
    <w:abstractNumId w:val="16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1"/>
    <w:rsid w:val="00066FB1"/>
    <w:rsid w:val="0007571E"/>
    <w:rsid w:val="00092409"/>
    <w:rsid w:val="000E6898"/>
    <w:rsid w:val="00185353"/>
    <w:rsid w:val="0019405B"/>
    <w:rsid w:val="001C6E3A"/>
    <w:rsid w:val="001E53E7"/>
    <w:rsid w:val="001E63EB"/>
    <w:rsid w:val="0020428E"/>
    <w:rsid w:val="00256C1B"/>
    <w:rsid w:val="00300AF4"/>
    <w:rsid w:val="00312868"/>
    <w:rsid w:val="0031348E"/>
    <w:rsid w:val="0031637E"/>
    <w:rsid w:val="003412CE"/>
    <w:rsid w:val="003468A6"/>
    <w:rsid w:val="003B61A8"/>
    <w:rsid w:val="003C4A60"/>
    <w:rsid w:val="003E3332"/>
    <w:rsid w:val="003F6E0E"/>
    <w:rsid w:val="003F7994"/>
    <w:rsid w:val="004102B0"/>
    <w:rsid w:val="004174FC"/>
    <w:rsid w:val="004277B2"/>
    <w:rsid w:val="00455673"/>
    <w:rsid w:val="004C2829"/>
    <w:rsid w:val="004C5886"/>
    <w:rsid w:val="004F0160"/>
    <w:rsid w:val="0053704B"/>
    <w:rsid w:val="005578EC"/>
    <w:rsid w:val="00592F1A"/>
    <w:rsid w:val="005F6B2E"/>
    <w:rsid w:val="0065691C"/>
    <w:rsid w:val="006F5FB6"/>
    <w:rsid w:val="00721B03"/>
    <w:rsid w:val="00725503"/>
    <w:rsid w:val="00776AF5"/>
    <w:rsid w:val="0078155F"/>
    <w:rsid w:val="00791D6B"/>
    <w:rsid w:val="00795775"/>
    <w:rsid w:val="007A2AB5"/>
    <w:rsid w:val="007D2A57"/>
    <w:rsid w:val="00834CC9"/>
    <w:rsid w:val="00874377"/>
    <w:rsid w:val="008D3068"/>
    <w:rsid w:val="00946872"/>
    <w:rsid w:val="00960C47"/>
    <w:rsid w:val="00962995"/>
    <w:rsid w:val="00982623"/>
    <w:rsid w:val="009D74B4"/>
    <w:rsid w:val="009F1E1A"/>
    <w:rsid w:val="00A00165"/>
    <w:rsid w:val="00A03391"/>
    <w:rsid w:val="00A26668"/>
    <w:rsid w:val="00A65A06"/>
    <w:rsid w:val="00B04BBF"/>
    <w:rsid w:val="00B251E6"/>
    <w:rsid w:val="00B85AB8"/>
    <w:rsid w:val="00BA1B93"/>
    <w:rsid w:val="00BC2796"/>
    <w:rsid w:val="00BD31B4"/>
    <w:rsid w:val="00BF1587"/>
    <w:rsid w:val="00C1473F"/>
    <w:rsid w:val="00C15FB8"/>
    <w:rsid w:val="00C33FDD"/>
    <w:rsid w:val="00C45383"/>
    <w:rsid w:val="00C60DE7"/>
    <w:rsid w:val="00CC5864"/>
    <w:rsid w:val="00CE79AA"/>
    <w:rsid w:val="00D064AC"/>
    <w:rsid w:val="00D31D72"/>
    <w:rsid w:val="00D36DA3"/>
    <w:rsid w:val="00D400F0"/>
    <w:rsid w:val="00D54037"/>
    <w:rsid w:val="00D84B06"/>
    <w:rsid w:val="00D97CBE"/>
    <w:rsid w:val="00DB3783"/>
    <w:rsid w:val="00E60A20"/>
    <w:rsid w:val="00E84052"/>
    <w:rsid w:val="00EE24DD"/>
    <w:rsid w:val="00EE45B0"/>
    <w:rsid w:val="00F10614"/>
    <w:rsid w:val="00F1683D"/>
    <w:rsid w:val="00F2559B"/>
    <w:rsid w:val="00F33635"/>
    <w:rsid w:val="00F46145"/>
    <w:rsid w:val="00F66263"/>
    <w:rsid w:val="00F752AC"/>
    <w:rsid w:val="00F81CC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BF7415"/>
  <w15:docId w15:val="{F634A6E6-C859-4F51-9FBF-EAB21AD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91"/>
  </w:style>
  <w:style w:type="paragraph" w:styleId="Footer">
    <w:name w:val="footer"/>
    <w:basedOn w:val="Normal"/>
    <w:link w:val="FooterChar"/>
    <w:uiPriority w:val="99"/>
    <w:unhideWhenUsed/>
    <w:rsid w:val="00A0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91"/>
  </w:style>
  <w:style w:type="paragraph" w:styleId="BalloonText">
    <w:name w:val="Balloon Text"/>
    <w:basedOn w:val="Normal"/>
    <w:link w:val="BalloonTextChar"/>
    <w:uiPriority w:val="99"/>
    <w:semiHidden/>
    <w:unhideWhenUsed/>
    <w:rsid w:val="00A0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3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6B2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F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F79A-DC08-4E4A-80E2-4E0CAEEE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Clausi</dc:creator>
  <cp:keywords/>
  <dc:description/>
  <cp:lastModifiedBy>Jose Velasquez</cp:lastModifiedBy>
  <cp:revision>2</cp:revision>
  <cp:lastPrinted>2022-02-28T18:21:00Z</cp:lastPrinted>
  <dcterms:created xsi:type="dcterms:W3CDTF">2024-03-27T18:28:00Z</dcterms:created>
  <dcterms:modified xsi:type="dcterms:W3CDTF">2024-03-27T18:28:00Z</dcterms:modified>
</cp:coreProperties>
</file>